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4B7" w:rsidRDefault="00596C8D">
      <w:pPr>
        <w:jc w:val="right"/>
        <w:rPr>
          <w:rFonts w:ascii="Verdana" w:hAnsi="Verdana"/>
          <w:sz w:val="18"/>
          <w:szCs w:val="18"/>
        </w:rPr>
      </w:pPr>
      <w:r w:rsidRPr="007877F9">
        <w:rPr>
          <w:rFonts w:ascii="Verdana" w:hAnsi="Verdana"/>
          <w:noProof/>
          <w:sz w:val="18"/>
          <w:szCs w:val="18"/>
        </w:rPr>
        <w:drawing>
          <wp:inline distT="0" distB="0" distL="0" distR="0">
            <wp:extent cx="1085850" cy="542925"/>
            <wp:effectExtent l="0" t="0" r="0" b="0"/>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C874B7" w:rsidRDefault="00C874B7">
      <w:pPr>
        <w:rPr>
          <w:rFonts w:ascii="Verdana" w:hAnsi="Verdana"/>
          <w:sz w:val="18"/>
          <w:szCs w:val="18"/>
        </w:rPr>
      </w:pPr>
      <w:r>
        <w:rPr>
          <w:rFonts w:ascii="Verdana" w:hAnsi="Verdana"/>
          <w:b/>
          <w:bCs/>
          <w:sz w:val="18"/>
          <w:szCs w:val="18"/>
        </w:rPr>
        <w:t>IMH cursus 6: Trauma binnen de ouder-kindrelatie</w:t>
      </w:r>
      <w:r>
        <w:rPr>
          <w:rFonts w:ascii="Verdana" w:hAnsi="Verdana"/>
          <w:sz w:val="18"/>
          <w:szCs w:val="18"/>
        </w:rPr>
        <w:br/>
      </w:r>
      <w:r>
        <w:rPr>
          <w:rFonts w:ascii="Verdana" w:hAnsi="Verdana"/>
          <w:b/>
          <w:bCs/>
          <w:i/>
          <w:iCs/>
          <w:sz w:val="18"/>
          <w:szCs w:val="18"/>
        </w:rPr>
        <w:t>Onderdeel van de opleiding tot IMH-specialist</w:t>
      </w:r>
      <w:r>
        <w:rPr>
          <w:rFonts w:ascii="Verdana" w:hAnsi="Verdana"/>
          <w:sz w:val="18"/>
          <w:szCs w:val="18"/>
        </w:rPr>
        <w:br/>
      </w:r>
    </w:p>
    <w:p w:rsidR="00C874B7" w:rsidRPr="007877F9" w:rsidRDefault="00C874B7">
      <w:pPr>
        <w:pStyle w:val="Normaalweb"/>
        <w:divId w:val="1484002151"/>
        <w:rPr>
          <w:rFonts w:ascii="Verdana" w:hAnsi="Verdana"/>
          <w:sz w:val="18"/>
          <w:szCs w:val="18"/>
        </w:rPr>
      </w:pPr>
      <w:r>
        <w:rPr>
          <w:rFonts w:ascii="Verdana" w:hAnsi="Verdana"/>
          <w:sz w:val="18"/>
          <w:szCs w:val="18"/>
        </w:rPr>
        <w:t>Infant Mental Health (IMH) staat voor de zorg voor de allerjongsten - van nog niet geboren tot 4 jaar - binnen de context waarin zij opgroeien. De IMH-visie is erop gericht dat de professional bijdraagt aan het opbouwen van een veilige band tussen (aanstaande) ouder(s) en kind. Met de verschuiving van budget en verantwoordelijkheid door de transitie van jeugdzorggelden naar gemeenten is de visie en het werkgebied van IMH van groot belang geworden voor alle professionals werkzaam met zwangeren en hun partners, en kinderen van 0 tot 4 jaar en hun ouder(s)/verzorger(s). Het gaat om een transformatie waarin rond het gezin (binnen de wijk) nauw samengewerkt wordt. Het adagio één gezin één plan vraagt om een overkoepelde en integrerende visie, zeker wanneer er een zwangere of een jong kind in het gezin aanwezig is. Het manifest 1001 kritieke dagen geeft aan hoe kwetsbaar deze eerste periode is, gezien de ontwikkeling van het brein en gehechtheidrelaties.</w:t>
      </w:r>
      <w:r>
        <w:rPr>
          <w:rFonts w:ascii="Verdana" w:hAnsi="Verdana"/>
          <w:sz w:val="18"/>
          <w:szCs w:val="18"/>
        </w:rPr>
        <w:br/>
        <w:t>Ouders met een onverwerkt trauma kunnen gedrag vertonen dat de emotionele veiligheid van (zeer jonge) kinderen ernstig aantast en de gehechtheidsrelatie sterk negatief beïnvloed. Hoe beleven en verwerken zeer jonge kinderen indrukwekkende en zeer ingrijpende gebeurtenissen? Op welke signalen moet je letten, wat mag je als behandelaar niet ontgaan? Hoe maak je een vermoedelijk onderliggend trauma bij een van de ouders bespreekbaar? Is een trauma van de ouder overdraagbaar op het zeer jonge kind?</w:t>
      </w:r>
      <w:r>
        <w:rPr>
          <w:rFonts w:ascii="Verdana" w:hAnsi="Verdana"/>
          <w:sz w:val="18"/>
          <w:szCs w:val="18"/>
        </w:rPr>
        <w:br/>
        <w:t xml:space="preserve">De cursus is onderdeel van de opleiding tot </w:t>
      </w:r>
      <w:hyperlink r:id="rId6" w:tgtFrame="_blank" w:history="1">
        <w:r>
          <w:rPr>
            <w:rStyle w:val="Hyperlink"/>
            <w:rFonts w:ascii="Verdana" w:hAnsi="Verdana"/>
            <w:sz w:val="18"/>
            <w:szCs w:val="18"/>
          </w:rPr>
          <w:t>IMH-specialist</w:t>
        </w:r>
      </w:hyperlink>
      <w:r>
        <w:rPr>
          <w:rFonts w:ascii="Verdana" w:hAnsi="Verdana"/>
          <w:sz w:val="18"/>
          <w:szCs w:val="18"/>
        </w:rPr>
        <w:t xml:space="preserve"> en is verplicht om in aanmerking te komen voor:</w:t>
      </w:r>
    </w:p>
    <w:p w:rsidR="00C874B7" w:rsidRDefault="00C874B7">
      <w:pPr>
        <w:numPr>
          <w:ilvl w:val="0"/>
          <w:numId w:val="1"/>
        </w:numPr>
        <w:spacing w:before="100" w:beforeAutospacing="1" w:after="100" w:afterAutospacing="1"/>
        <w:divId w:val="1484002151"/>
        <w:rPr>
          <w:rFonts w:ascii="Verdana" w:hAnsi="Verdana"/>
          <w:sz w:val="18"/>
          <w:szCs w:val="18"/>
        </w:rPr>
      </w:pPr>
      <w:r>
        <w:rPr>
          <w:rFonts w:ascii="Verdana" w:hAnsi="Verdana"/>
          <w:sz w:val="18"/>
          <w:szCs w:val="18"/>
        </w:rPr>
        <w:t xml:space="preserve">DAIMH registratie </w:t>
      </w:r>
    </w:p>
    <w:p w:rsidR="00C874B7" w:rsidRDefault="00C874B7">
      <w:pPr>
        <w:numPr>
          <w:ilvl w:val="0"/>
          <w:numId w:val="1"/>
        </w:numPr>
        <w:spacing w:before="100" w:beforeAutospacing="1" w:after="100" w:afterAutospacing="1"/>
        <w:divId w:val="1484002151"/>
        <w:rPr>
          <w:rFonts w:ascii="Verdana" w:hAnsi="Verdana"/>
          <w:sz w:val="18"/>
          <w:szCs w:val="18"/>
        </w:rPr>
      </w:pPr>
      <w:r>
        <w:rPr>
          <w:rFonts w:ascii="Verdana" w:hAnsi="Verdana"/>
          <w:sz w:val="18"/>
          <w:szCs w:val="18"/>
        </w:rPr>
        <w:t>het diploma IMH-specialist</w:t>
      </w:r>
    </w:p>
    <w:p w:rsidR="00C874B7" w:rsidRDefault="00C874B7">
      <w:pPr>
        <w:divId w:val="1484002151"/>
        <w:rPr>
          <w:rFonts w:ascii="Verdana" w:hAnsi="Verdana"/>
          <w:sz w:val="18"/>
          <w:szCs w:val="18"/>
        </w:rPr>
      </w:pPr>
      <w:r>
        <w:rPr>
          <w:rFonts w:ascii="Verdana" w:hAnsi="Verdana"/>
          <w:sz w:val="18"/>
          <w:szCs w:val="18"/>
        </w:rPr>
        <w:t>Bij gelijktijdige inschrijving (op dezelfde dag) voor drie of meer cursussen waarvoor accreditatie is toegekend of aangevraagd i.h.k.v. de herregistratie Kinder- en Jeugdpsycholoog NIP of NVO Orthopedagoog-Generalist, ontvang je 10% korting per cursus. Vermeld op het inschrijfformulier code KJ13A.</w:t>
      </w:r>
      <w:r>
        <w:rPr>
          <w:rFonts w:ascii="Verdana" w:hAnsi="Verdana"/>
          <w:sz w:val="18"/>
          <w:szCs w:val="18"/>
        </w:rPr>
        <w:br/>
        <w:t>Deze cursus maakt onderdeel uit van de mogelijkheid tot herregistratie als Kinder- en Jeugdpsycholoog NIP of NVO Orthopedagoog-Generalist.</w:t>
      </w:r>
      <w:r>
        <w:rPr>
          <w:rFonts w:ascii="Verdana" w:hAnsi="Verdana"/>
          <w:sz w:val="18"/>
          <w:szCs w:val="18"/>
        </w:rPr>
        <w:br/>
        <w:t xml:space="preserve">Je volgt eerst cursus 1; daarna is het mogelijk de verschillende cursussen in een voor jou passende volgorde te volgen (passend bij IMH-Generalist of IMH-Specialist). Passend bij het DAIMH-register hanteren we een periode van 5 jaar voor het volgen van alle cursussen. Het is, eventueel, mogelijk een vrijstelling aan te vragen middels een vrijstellingsverzoek aan de hoofdopleider. </w:t>
      </w:r>
    </w:p>
    <w:p w:rsidR="00C874B7" w:rsidRDefault="00C874B7">
      <w:pPr>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b/>
          <w:bCs/>
          <w:sz w:val="18"/>
          <w:szCs w:val="18"/>
        </w:rPr>
        <w:t>Doel</w:t>
      </w:r>
      <w:r>
        <w:rPr>
          <w:rFonts w:ascii="Verdana" w:hAnsi="Verdana"/>
          <w:sz w:val="18"/>
          <w:szCs w:val="18"/>
        </w:rPr>
        <w:br/>
        <w:t>Na het volgen van deze cursus heb je inzicht in de traumasensitieve visie en (be)handelen binnen de IMH-visie. Middels fragmenten en observatie leer je de signalen te herkennen van (onderliggend) trauma in de ouder-kindrelatie. Je leert observeren en herkennen van traumasignalen bij ouders en bij zeer jonge kinderen. Ook leer je over de invloed van toxische stress en het relationele trauma. Je krijgt meer inzicht in de invloed van trauma op de neurologische, biologische, sociaal-emotionele ontwikkeling tussen de ouders/verzorgers van het kind. Tevens herken je intergenerationele overdracht van trauma.</w:t>
      </w:r>
      <w:r>
        <w:rPr>
          <w:rFonts w:ascii="Verdana" w:hAnsi="Verdana"/>
          <w:sz w:val="18"/>
          <w:szCs w:val="18"/>
        </w:rPr>
        <w:br/>
      </w:r>
      <w:r>
        <w:rPr>
          <w:rFonts w:ascii="Verdana" w:hAnsi="Verdana"/>
          <w:sz w:val="18"/>
          <w:szCs w:val="18"/>
        </w:rPr>
        <w:br/>
      </w:r>
      <w:r>
        <w:rPr>
          <w:rFonts w:ascii="Verdana" w:hAnsi="Verdana"/>
          <w:b/>
          <w:bCs/>
          <w:sz w:val="18"/>
          <w:szCs w:val="18"/>
        </w:rPr>
        <w:t>Doelgroep</w:t>
      </w:r>
      <w:r>
        <w:rPr>
          <w:rFonts w:ascii="Verdana" w:hAnsi="Verdana"/>
          <w:sz w:val="18"/>
          <w:szCs w:val="18"/>
        </w:rPr>
        <w:br/>
        <w:t>Gz-psycholoog BIG, Psychotherapeut BIG, Klinisch psycholoog BIG, Klinisch neuropsycholoog BIG, Kinder- en jeugdpsycholoog NIP, NVO Orthopedagoog-generalist, Psychiater, Arts en Jeugdarts</w:t>
      </w:r>
      <w:r>
        <w:rPr>
          <w:rFonts w:ascii="Verdana" w:hAnsi="Verdana"/>
          <w:sz w:val="18"/>
          <w:szCs w:val="18"/>
        </w:rPr>
        <w:br/>
      </w:r>
      <w:r>
        <w:rPr>
          <w:rFonts w:ascii="Verdana" w:hAnsi="Verdana"/>
          <w:sz w:val="18"/>
          <w:szCs w:val="18"/>
        </w:rPr>
        <w:br/>
        <w:t>Je hebt de volgende vooropleiding/beroepstitel en je werkt in een behandelsetting waar je ouder-kindrelaties behandelt.</w:t>
      </w:r>
      <w:r>
        <w:rPr>
          <w:rFonts w:ascii="Verdana" w:hAnsi="Verdana"/>
          <w:sz w:val="18"/>
          <w:szCs w:val="18"/>
        </w:rPr>
        <w:br/>
      </w:r>
      <w:r>
        <w:rPr>
          <w:rFonts w:ascii="Verdana" w:hAnsi="Verdana"/>
          <w:sz w:val="18"/>
          <w:szCs w:val="18"/>
        </w:rPr>
        <w:br/>
      </w:r>
      <w:r>
        <w:rPr>
          <w:rFonts w:ascii="Verdana" w:hAnsi="Verdana"/>
          <w:b/>
          <w:bCs/>
          <w:sz w:val="18"/>
          <w:szCs w:val="18"/>
        </w:rPr>
        <w:t>Inhoud</w:t>
      </w:r>
    </w:p>
    <w:p w:rsidR="00C874B7" w:rsidRDefault="00C874B7">
      <w:pPr>
        <w:numPr>
          <w:ilvl w:val="0"/>
          <w:numId w:val="2"/>
        </w:numPr>
        <w:spacing w:before="100" w:beforeAutospacing="1" w:after="100" w:afterAutospacing="1"/>
        <w:rPr>
          <w:rFonts w:ascii="Verdana" w:hAnsi="Verdana"/>
          <w:sz w:val="18"/>
          <w:szCs w:val="18"/>
        </w:rPr>
      </w:pPr>
      <w:r>
        <w:rPr>
          <w:rFonts w:ascii="Verdana" w:hAnsi="Verdana"/>
          <w:sz w:val="18"/>
          <w:szCs w:val="18"/>
        </w:rPr>
        <w:t>traumasensitieve visie en (be)handelen binnen de IMH-visie en het model Port of Entry</w:t>
      </w:r>
    </w:p>
    <w:p w:rsidR="00C874B7" w:rsidRDefault="00C874B7">
      <w:pPr>
        <w:numPr>
          <w:ilvl w:val="0"/>
          <w:numId w:val="2"/>
        </w:numPr>
        <w:spacing w:before="100" w:beforeAutospacing="1" w:after="100" w:afterAutospacing="1"/>
        <w:rPr>
          <w:rFonts w:ascii="Verdana" w:hAnsi="Verdana"/>
          <w:sz w:val="18"/>
          <w:szCs w:val="18"/>
        </w:rPr>
      </w:pPr>
      <w:r>
        <w:rPr>
          <w:rFonts w:ascii="Verdana" w:hAnsi="Verdana"/>
          <w:sz w:val="18"/>
          <w:szCs w:val="18"/>
        </w:rPr>
        <w:t>signaleren van (onderliggend) trauma in de ouder-kindrelatie</w:t>
      </w:r>
    </w:p>
    <w:p w:rsidR="00C874B7" w:rsidRDefault="00C874B7">
      <w:pPr>
        <w:numPr>
          <w:ilvl w:val="0"/>
          <w:numId w:val="2"/>
        </w:numPr>
        <w:spacing w:before="100" w:beforeAutospacing="1" w:after="100" w:afterAutospacing="1"/>
        <w:rPr>
          <w:rFonts w:ascii="Verdana" w:hAnsi="Verdana"/>
          <w:sz w:val="18"/>
          <w:szCs w:val="18"/>
        </w:rPr>
      </w:pPr>
      <w:r>
        <w:rPr>
          <w:rFonts w:ascii="Verdana" w:hAnsi="Verdana"/>
          <w:sz w:val="18"/>
          <w:szCs w:val="18"/>
        </w:rPr>
        <w:t>het continuüm: toxische stress en relationeel trauma</w:t>
      </w:r>
    </w:p>
    <w:p w:rsidR="00C874B7" w:rsidRDefault="00C874B7">
      <w:pPr>
        <w:numPr>
          <w:ilvl w:val="0"/>
          <w:numId w:val="2"/>
        </w:numPr>
        <w:spacing w:before="100" w:beforeAutospacing="1" w:after="100" w:afterAutospacing="1"/>
        <w:rPr>
          <w:rFonts w:ascii="Verdana" w:hAnsi="Verdana"/>
          <w:sz w:val="18"/>
          <w:szCs w:val="18"/>
        </w:rPr>
      </w:pPr>
      <w:r>
        <w:rPr>
          <w:rFonts w:ascii="Verdana" w:hAnsi="Verdana"/>
          <w:sz w:val="18"/>
          <w:szCs w:val="18"/>
        </w:rPr>
        <w:t>de invloed van trauma op de neuro bio sociaal emotionele ontwikkeling binnen relatie ouders/verzorgers</w:t>
      </w:r>
    </w:p>
    <w:p w:rsidR="00C874B7" w:rsidRDefault="00C874B7">
      <w:pPr>
        <w:numPr>
          <w:ilvl w:val="0"/>
          <w:numId w:val="2"/>
        </w:numPr>
        <w:spacing w:before="100" w:beforeAutospacing="1" w:after="100" w:afterAutospacing="1"/>
        <w:rPr>
          <w:rFonts w:ascii="Verdana" w:hAnsi="Verdana"/>
          <w:sz w:val="18"/>
          <w:szCs w:val="18"/>
        </w:rPr>
      </w:pPr>
      <w:r>
        <w:rPr>
          <w:rFonts w:ascii="Verdana" w:hAnsi="Verdana"/>
          <w:sz w:val="18"/>
          <w:szCs w:val="18"/>
        </w:rPr>
        <w:t>inleiding in diagnostiek en interventies (vanuit Port of Entry): Ambiance, WMCI, PDI EMDR in relationeel trauma en storytelling, Modified Interaction Guidance, Signs of Safety, Words &amp; Pictures</w:t>
      </w:r>
    </w:p>
    <w:p w:rsidR="00C874B7" w:rsidRDefault="00C874B7">
      <w:pPr>
        <w:rPr>
          <w:rFonts w:ascii="Verdana" w:hAnsi="Verdana"/>
          <w:sz w:val="18"/>
          <w:szCs w:val="18"/>
        </w:rPr>
      </w:pPr>
      <w:r>
        <w:rPr>
          <w:rFonts w:ascii="Verdana" w:hAnsi="Verdana"/>
          <w:sz w:val="18"/>
          <w:szCs w:val="18"/>
        </w:rPr>
        <w:lastRenderedPageBreak/>
        <w:br/>
        <w:t>In de supervisie wordt nader ingegaan op het toepassen van traumasensitief (be)handelen, traumainterventies en het reflecteren daarop.</w:t>
      </w:r>
      <w:r>
        <w:rPr>
          <w:rFonts w:ascii="Verdana" w:hAnsi="Verdana"/>
          <w:sz w:val="18"/>
          <w:szCs w:val="18"/>
        </w:rPr>
        <w:br/>
      </w:r>
      <w:r>
        <w:rPr>
          <w:rFonts w:ascii="Verdana" w:hAnsi="Verdana"/>
          <w:sz w:val="18"/>
          <w:szCs w:val="18"/>
        </w:rPr>
        <w:br/>
        <w:t>Daarnaast staat centraal:</w:t>
      </w:r>
    </w:p>
    <w:p w:rsidR="00C874B7" w:rsidRDefault="00C874B7">
      <w:pPr>
        <w:numPr>
          <w:ilvl w:val="0"/>
          <w:numId w:val="3"/>
        </w:numPr>
        <w:spacing w:before="100" w:beforeAutospacing="1" w:after="100" w:afterAutospacing="1"/>
        <w:rPr>
          <w:rFonts w:ascii="Verdana" w:hAnsi="Verdana"/>
          <w:sz w:val="18"/>
          <w:szCs w:val="18"/>
        </w:rPr>
      </w:pPr>
      <w:r>
        <w:rPr>
          <w:rFonts w:ascii="Verdana" w:hAnsi="Verdana"/>
          <w:sz w:val="18"/>
          <w:szCs w:val="18"/>
        </w:rPr>
        <w:t>de dimensie veilig gezond en onveilig verstoorde ontwikkeling</w:t>
      </w:r>
    </w:p>
    <w:p w:rsidR="00C874B7" w:rsidRDefault="00C874B7">
      <w:pPr>
        <w:numPr>
          <w:ilvl w:val="0"/>
          <w:numId w:val="3"/>
        </w:numPr>
        <w:spacing w:before="100" w:beforeAutospacing="1" w:after="100" w:afterAutospacing="1"/>
        <w:rPr>
          <w:rFonts w:ascii="Verdana" w:hAnsi="Verdana"/>
          <w:sz w:val="18"/>
          <w:szCs w:val="18"/>
        </w:rPr>
      </w:pPr>
      <w:r>
        <w:rPr>
          <w:rFonts w:ascii="Verdana" w:hAnsi="Verdana"/>
          <w:sz w:val="18"/>
          <w:szCs w:val="18"/>
        </w:rPr>
        <w:t>observatie als methodiek</w:t>
      </w:r>
    </w:p>
    <w:p w:rsidR="00C874B7" w:rsidRDefault="00C874B7">
      <w:pPr>
        <w:numPr>
          <w:ilvl w:val="0"/>
          <w:numId w:val="3"/>
        </w:numPr>
        <w:spacing w:before="100" w:beforeAutospacing="1" w:after="100" w:afterAutospacing="1"/>
        <w:rPr>
          <w:rFonts w:ascii="Verdana" w:hAnsi="Verdana"/>
          <w:sz w:val="18"/>
          <w:szCs w:val="18"/>
        </w:rPr>
      </w:pPr>
      <w:r>
        <w:rPr>
          <w:rFonts w:ascii="Verdana" w:hAnsi="Verdana"/>
          <w:sz w:val="18"/>
          <w:szCs w:val="18"/>
        </w:rPr>
        <w:t>de integratie somatiek en psyche</w:t>
      </w:r>
    </w:p>
    <w:p w:rsidR="00C874B7" w:rsidRDefault="00C874B7">
      <w:pPr>
        <w:numPr>
          <w:ilvl w:val="0"/>
          <w:numId w:val="3"/>
        </w:numPr>
        <w:spacing w:before="100" w:beforeAutospacing="1" w:after="100" w:afterAutospacing="1"/>
        <w:rPr>
          <w:rFonts w:ascii="Verdana" w:hAnsi="Verdana"/>
          <w:sz w:val="18"/>
          <w:szCs w:val="18"/>
        </w:rPr>
      </w:pPr>
      <w:r>
        <w:rPr>
          <w:rFonts w:ascii="Verdana" w:hAnsi="Verdana"/>
          <w:sz w:val="18"/>
          <w:szCs w:val="18"/>
        </w:rPr>
        <w:t>veerkracht en risico factoren</w:t>
      </w:r>
    </w:p>
    <w:p w:rsidR="00C874B7" w:rsidRDefault="00C874B7">
      <w:pPr>
        <w:numPr>
          <w:ilvl w:val="0"/>
          <w:numId w:val="3"/>
        </w:numPr>
        <w:spacing w:before="100" w:beforeAutospacing="1" w:after="100" w:afterAutospacing="1"/>
        <w:rPr>
          <w:rFonts w:ascii="Verdana" w:hAnsi="Verdana"/>
          <w:sz w:val="18"/>
          <w:szCs w:val="18"/>
        </w:rPr>
      </w:pPr>
      <w:r>
        <w:rPr>
          <w:rFonts w:ascii="Verdana" w:hAnsi="Verdana"/>
          <w:sz w:val="18"/>
          <w:szCs w:val="18"/>
        </w:rPr>
        <w:t>cultuursensitief werken</w:t>
      </w:r>
    </w:p>
    <w:p w:rsidR="00596C8D" w:rsidRDefault="00C874B7" w:rsidP="00596C8D">
      <w:pPr>
        <w:pStyle w:val="Default"/>
        <w:rPr>
          <w:rFonts w:ascii="Verdana" w:hAnsi="Verdana"/>
          <w:sz w:val="18"/>
          <w:szCs w:val="18"/>
        </w:rPr>
      </w:pPr>
      <w:r>
        <w:rPr>
          <w:rFonts w:ascii="Verdana" w:hAnsi="Verdana"/>
          <w:b/>
          <w:bCs/>
          <w:sz w:val="18"/>
          <w:szCs w:val="18"/>
        </w:rPr>
        <w:t>Docent</w:t>
      </w:r>
      <w:r>
        <w:rPr>
          <w:rFonts w:ascii="Verdana" w:hAnsi="Verdana"/>
          <w:sz w:val="18"/>
          <w:szCs w:val="18"/>
        </w:rPr>
        <w:br/>
      </w:r>
      <w:r w:rsidR="00596C8D" w:rsidRPr="00596C8D">
        <w:rPr>
          <w:rFonts w:ascii="Verdana" w:hAnsi="Verdana"/>
          <w:sz w:val="18"/>
          <w:szCs w:val="18"/>
        </w:rPr>
        <w:t xml:space="preserve">Nelleke van der Boon is klinisch psycholoog/psychotherapeut en IMH specialist. Ze is werkzaam bij Melody PsyCare GGZ. Zij heeft de MIG vertaald en is auteur van het boek: Modified Interaction Guidance (MIG): interventie bij gedesorganiseerde gehechtheid en trauma. </w:t>
      </w:r>
    </w:p>
    <w:p w:rsidR="00596C8D" w:rsidRPr="00596C8D" w:rsidRDefault="00596C8D" w:rsidP="00596C8D">
      <w:pPr>
        <w:pStyle w:val="Default"/>
        <w:rPr>
          <w:rFonts w:ascii="Verdana" w:hAnsi="Verdana"/>
          <w:sz w:val="18"/>
          <w:szCs w:val="18"/>
        </w:rPr>
      </w:pPr>
    </w:p>
    <w:p w:rsidR="00596C8D" w:rsidRDefault="00596C8D" w:rsidP="00596C8D">
      <w:pPr>
        <w:pStyle w:val="Default"/>
        <w:rPr>
          <w:rFonts w:ascii="Verdana" w:hAnsi="Verdana"/>
          <w:sz w:val="18"/>
          <w:szCs w:val="18"/>
        </w:rPr>
      </w:pPr>
      <w:r w:rsidRPr="00596C8D">
        <w:rPr>
          <w:rFonts w:ascii="Verdana" w:hAnsi="Verdana"/>
          <w:sz w:val="18"/>
          <w:szCs w:val="18"/>
        </w:rPr>
        <w:t xml:space="preserve">Alfons Crijnen is kinder- en jeugdpsychiater en grondlegger van de interventies: kindermishandeling, gedrag/pesten op school en medisch interview. Hij is werkzaam op de Opvoedpoli bij de Waag. </w:t>
      </w:r>
    </w:p>
    <w:p w:rsidR="00596C8D" w:rsidRPr="00596C8D" w:rsidRDefault="00596C8D" w:rsidP="00596C8D">
      <w:pPr>
        <w:pStyle w:val="Default"/>
        <w:rPr>
          <w:rFonts w:ascii="Verdana" w:hAnsi="Verdana"/>
          <w:sz w:val="18"/>
          <w:szCs w:val="18"/>
        </w:rPr>
      </w:pPr>
      <w:bookmarkStart w:id="0" w:name="_GoBack"/>
      <w:bookmarkEnd w:id="0"/>
    </w:p>
    <w:p w:rsidR="00596C8D" w:rsidRDefault="00596C8D" w:rsidP="00596C8D">
      <w:pPr>
        <w:rPr>
          <w:rFonts w:ascii="Verdana" w:hAnsi="Verdana"/>
          <w:sz w:val="18"/>
          <w:szCs w:val="18"/>
        </w:rPr>
      </w:pPr>
      <w:r w:rsidRPr="00596C8D">
        <w:rPr>
          <w:rFonts w:ascii="Verdana" w:hAnsi="Verdana"/>
          <w:sz w:val="18"/>
          <w:szCs w:val="18"/>
        </w:rPr>
        <w:t>Yael Meijer is klinisch psycholoog en psychotherapeut, gedragstherapeut en supervisor VGCt. Zij is werkzaam als praktijkhouder van het Amsterdams Centrum voor Familie therapie, met als specialisme regulatieproblematiek bij het jonge kind en bij jongeren en hun gezinnen. Binnen het Centrum verzorgt zij samen met Astrid van Dam ook training en supervisie in FFT. Daarnaast is Yael werkzaam als regiebehandelaar bij Fier, expertise en behandelcentrum voor geweld in afhankelijkheidsrelaties, in Leeuwarden en in Rotterdam. Verder doet Yael bestuurswerk voor het NIP (voorzitter sectie Het Jonge Kind).</w:t>
      </w:r>
    </w:p>
    <w:p w:rsidR="00C874B7" w:rsidRDefault="00C874B7" w:rsidP="00596C8D">
      <w:pPr>
        <w:rPr>
          <w:rFonts w:ascii="Verdana" w:hAnsi="Verdana"/>
          <w:sz w:val="18"/>
          <w:szCs w:val="18"/>
        </w:rPr>
      </w:pPr>
      <w:r>
        <w:rPr>
          <w:rFonts w:ascii="Verdana" w:hAnsi="Verdana"/>
          <w:sz w:val="18"/>
          <w:szCs w:val="18"/>
        </w:rPr>
        <w:br/>
      </w:r>
      <w:r>
        <w:rPr>
          <w:rFonts w:ascii="Verdana" w:hAnsi="Verdana"/>
          <w:b/>
          <w:bCs/>
          <w:sz w:val="18"/>
          <w:szCs w:val="18"/>
        </w:rPr>
        <w:t>Certificaat</w:t>
      </w:r>
      <w:r>
        <w:rPr>
          <w:rFonts w:ascii="Verdana" w:hAnsi="Verdana"/>
          <w:sz w:val="18"/>
          <w:szCs w:val="18"/>
        </w:rPr>
        <w:br/>
        <w:t>Je ontvangt een certificaat indien je minimaal 90% aanwezig bent geweest en de cursus met goed gevolg hebt afgerond.</w:t>
      </w:r>
      <w:r>
        <w:rPr>
          <w:rFonts w:ascii="Verdana" w:hAnsi="Verdana"/>
          <w:sz w:val="18"/>
          <w:szCs w:val="18"/>
        </w:rPr>
        <w:br/>
      </w:r>
      <w:r>
        <w:rPr>
          <w:rFonts w:ascii="Verdana" w:hAnsi="Verdana"/>
          <w:sz w:val="18"/>
          <w:szCs w:val="18"/>
        </w:rPr>
        <w:br/>
      </w:r>
      <w:r>
        <w:rPr>
          <w:rFonts w:ascii="Verdana" w:hAnsi="Verdana"/>
          <w:b/>
          <w:bCs/>
          <w:sz w:val="18"/>
          <w:szCs w:val="18"/>
        </w:rPr>
        <w:t>Meer informatie</w:t>
      </w:r>
      <w:r>
        <w:rPr>
          <w:rFonts w:ascii="Verdana" w:hAnsi="Verdana"/>
          <w:sz w:val="18"/>
          <w:szCs w:val="18"/>
        </w:rPr>
        <w:br/>
        <w:t>Kijk op www.rinogroep.nl voor meer informatie of neem contact op met de infodesk via 030 230 84 50 of infodesk@rinogroep.nl</w:t>
      </w:r>
    </w:p>
    <w:sectPr w:rsidR="00C874B7">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DCB"/>
    <w:multiLevelType w:val="multilevel"/>
    <w:tmpl w:val="530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42B3A"/>
    <w:multiLevelType w:val="multilevel"/>
    <w:tmpl w:val="321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60627"/>
    <w:multiLevelType w:val="multilevel"/>
    <w:tmpl w:val="5AC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04"/>
    <w:rsid w:val="001D6A04"/>
    <w:rsid w:val="00596C8D"/>
    <w:rsid w:val="007877F9"/>
    <w:rsid w:val="00C87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65EBCB"/>
  <w15:chartTrackingRefBased/>
  <w15:docId w15:val="{D15D0B53-68B8-41DE-95CA-AFD7D04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link w:val="Voettekst"/>
    <w:uiPriority w:val="99"/>
    <w:semiHidden/>
    <w:rPr>
      <w:rFonts w:eastAsia="Times New Roman"/>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link w:val="Koptekst"/>
    <w:uiPriority w:val="99"/>
    <w:semiHidden/>
    <w:rPr>
      <w:rFonts w:eastAsia="Times New Roman"/>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GevolgdeHyperlink">
    <w:name w:val="FollowedHyperlink"/>
    <w:uiPriority w:val="99"/>
    <w:semiHidden/>
    <w:unhideWhenUsed/>
    <w:rPr>
      <w:color w:val="800080"/>
      <w:u w:val="single"/>
    </w:rPr>
  </w:style>
  <w:style w:type="paragraph" w:customStyle="1" w:styleId="Default">
    <w:name w:val="Default"/>
    <w:rsid w:val="00596C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32009">
      <w:marLeft w:val="0"/>
      <w:marRight w:val="0"/>
      <w:marTop w:val="0"/>
      <w:marBottom w:val="0"/>
      <w:divBdr>
        <w:top w:val="none" w:sz="0" w:space="0" w:color="auto"/>
        <w:left w:val="none" w:sz="0" w:space="0" w:color="auto"/>
        <w:bottom w:val="none" w:sz="0" w:space="0" w:color="auto"/>
        <w:right w:val="none" w:sz="0" w:space="0" w:color="auto"/>
      </w:divBdr>
      <w:divsChild>
        <w:div w:id="1718354919">
          <w:marLeft w:val="0"/>
          <w:marRight w:val="0"/>
          <w:marTop w:val="0"/>
          <w:marBottom w:val="0"/>
          <w:divBdr>
            <w:top w:val="none" w:sz="0" w:space="0" w:color="auto"/>
            <w:left w:val="none" w:sz="0" w:space="0" w:color="auto"/>
            <w:bottom w:val="none" w:sz="0" w:space="0" w:color="auto"/>
            <w:right w:val="none" w:sz="0" w:space="0" w:color="auto"/>
          </w:divBdr>
          <w:divsChild>
            <w:div w:id="14840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3958"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5711</CharactersWithSpaces>
  <SharedDoc>false</SharedDoc>
  <HLinks>
    <vt:vector size="12" baseType="variant">
      <vt:variant>
        <vt:i4>7929964</vt:i4>
      </vt:variant>
      <vt:variant>
        <vt:i4>3</vt:i4>
      </vt:variant>
      <vt:variant>
        <vt:i4>0</vt:i4>
      </vt:variant>
      <vt:variant>
        <vt:i4>5</vt:i4>
      </vt:variant>
      <vt:variant>
        <vt:lpwstr>https://www.rinogroep.nl/opleiding/3958</vt:lpwstr>
      </vt:variant>
      <vt:variant>
        <vt:lpwstr/>
      </vt:variant>
      <vt:variant>
        <vt:i4>8257633</vt:i4>
      </vt:variant>
      <vt:variant>
        <vt:i4>2137</vt:i4>
      </vt:variant>
      <vt:variant>
        <vt:i4>1026</vt:i4>
      </vt:variant>
      <vt:variant>
        <vt:i4>1</vt:i4>
      </vt:variant>
      <vt:variant>
        <vt:lpwstr>https://www.rinogroep.nl/assets/images/bg-mail.png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Anne Burer</cp:lastModifiedBy>
  <cp:revision>2</cp:revision>
  <dcterms:created xsi:type="dcterms:W3CDTF">2019-09-11T12:03:00Z</dcterms:created>
  <dcterms:modified xsi:type="dcterms:W3CDTF">2019-09-11T12:03:00Z</dcterms:modified>
</cp:coreProperties>
</file>